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DF1" w:rsidRDefault="00CC4DF1" w:rsidP="00CC4DF1">
      <w:pPr>
        <w:spacing w:line="480" w:lineRule="auto"/>
        <w:jc w:val="center"/>
      </w:pPr>
    </w:p>
    <w:p w:rsidR="00CC4DF1" w:rsidRDefault="00CC4DF1" w:rsidP="00CC4DF1">
      <w:pPr>
        <w:spacing w:line="480" w:lineRule="auto"/>
        <w:jc w:val="center"/>
      </w:pPr>
    </w:p>
    <w:p w:rsidR="00CC4DF1" w:rsidRDefault="00CC4DF1" w:rsidP="00CC4DF1">
      <w:pPr>
        <w:spacing w:line="480" w:lineRule="auto"/>
        <w:jc w:val="center"/>
      </w:pPr>
    </w:p>
    <w:p w:rsidR="00CC4DF1" w:rsidRDefault="00CC4DF1" w:rsidP="00CC4DF1">
      <w:pPr>
        <w:spacing w:line="480" w:lineRule="auto"/>
        <w:jc w:val="center"/>
      </w:pPr>
    </w:p>
    <w:p w:rsidR="009B56AD" w:rsidRPr="009B56AD" w:rsidRDefault="00B3214A" w:rsidP="00AD74DE">
      <w:pPr>
        <w:spacing w:line="480" w:lineRule="auto"/>
        <w:jc w:val="center"/>
      </w:pPr>
      <w:r w:rsidRPr="009B56AD">
        <w:t>Tax research memo</w:t>
      </w:r>
    </w:p>
    <w:p w:rsidR="009B56AD" w:rsidRDefault="00B3214A" w:rsidP="00AD74DE">
      <w:pPr>
        <w:spacing w:line="480" w:lineRule="auto"/>
        <w:jc w:val="center"/>
      </w:pPr>
      <w:r>
        <w:t>Institutional affiliation</w:t>
      </w:r>
    </w:p>
    <w:p w:rsidR="009B56AD" w:rsidRDefault="00B3214A" w:rsidP="00AD74DE">
      <w:pPr>
        <w:spacing w:line="480" w:lineRule="auto"/>
        <w:jc w:val="center"/>
      </w:pPr>
      <w:r>
        <w:t>Name of lecturer</w:t>
      </w:r>
    </w:p>
    <w:p w:rsidR="009B56AD" w:rsidRDefault="00B3214A" w:rsidP="00AD74DE">
      <w:pPr>
        <w:spacing w:line="480" w:lineRule="auto"/>
        <w:jc w:val="center"/>
      </w:pPr>
      <w:r>
        <w:t>Name of student</w:t>
      </w:r>
    </w:p>
    <w:p w:rsidR="009B56AD" w:rsidRDefault="00B3214A" w:rsidP="00AD74DE">
      <w:pPr>
        <w:spacing w:line="480" w:lineRule="auto"/>
        <w:jc w:val="center"/>
      </w:pPr>
      <w:r>
        <w:t xml:space="preserve">Due date </w:t>
      </w:r>
      <w:r>
        <w:br w:type="page"/>
      </w:r>
    </w:p>
    <w:p w:rsidR="00393F60" w:rsidRPr="00CC4DF1" w:rsidRDefault="00B3214A" w:rsidP="00AD74DE">
      <w:pPr>
        <w:spacing w:line="480" w:lineRule="auto"/>
        <w:jc w:val="center"/>
        <w:rPr>
          <w:b/>
        </w:rPr>
      </w:pPr>
      <w:r w:rsidRPr="00CC4DF1">
        <w:rPr>
          <w:b/>
        </w:rPr>
        <w:lastRenderedPageBreak/>
        <w:t>Tax research memo</w:t>
      </w:r>
    </w:p>
    <w:p w:rsidR="00393F60" w:rsidRPr="006F558B" w:rsidRDefault="00B3214A" w:rsidP="00AD74DE">
      <w:pPr>
        <w:spacing w:line="480" w:lineRule="auto"/>
        <w:jc w:val="center"/>
        <w:rPr>
          <w:b/>
        </w:rPr>
      </w:pPr>
      <w:r w:rsidRPr="006F558B">
        <w:rPr>
          <w:b/>
        </w:rPr>
        <w:t>Facts</w:t>
      </w:r>
    </w:p>
    <w:p w:rsidR="00393F60" w:rsidRDefault="00B3214A" w:rsidP="00AD74DE">
      <w:pPr>
        <w:pStyle w:val="ListParagraph"/>
        <w:numPr>
          <w:ilvl w:val="0"/>
          <w:numId w:val="1"/>
        </w:numPr>
        <w:spacing w:line="480" w:lineRule="auto"/>
      </w:pPr>
      <w:r>
        <w:t xml:space="preserve">The name of the company is George' plumbing, Inc. </w:t>
      </w:r>
    </w:p>
    <w:p w:rsidR="00393F60" w:rsidRDefault="00B3214A" w:rsidP="00AD74DE">
      <w:pPr>
        <w:pStyle w:val="ListParagraph"/>
        <w:numPr>
          <w:ilvl w:val="0"/>
          <w:numId w:val="1"/>
        </w:numPr>
        <w:spacing w:line="480" w:lineRule="auto"/>
      </w:pPr>
      <w:r>
        <w:t>The company is a C corporation.</w:t>
      </w:r>
    </w:p>
    <w:p w:rsidR="00393F60" w:rsidRDefault="00B3214A" w:rsidP="00AD74DE">
      <w:pPr>
        <w:pStyle w:val="ListParagraph"/>
        <w:numPr>
          <w:ilvl w:val="0"/>
          <w:numId w:val="1"/>
        </w:numPr>
        <w:spacing w:line="480" w:lineRule="auto"/>
      </w:pPr>
      <w:r>
        <w:t>George's Plumbing Inc. is a calendar year-end cash basis taxpayer.</w:t>
      </w:r>
    </w:p>
    <w:p w:rsidR="00393F60" w:rsidRDefault="00B3214A" w:rsidP="00AD74DE">
      <w:pPr>
        <w:pStyle w:val="ListParagraph"/>
        <w:numPr>
          <w:ilvl w:val="0"/>
          <w:numId w:val="1"/>
        </w:numPr>
        <w:spacing w:line="480" w:lineRule="auto"/>
      </w:pPr>
      <w:r>
        <w:t>The company obtained a $2 million Paycheck Protection Program loan to cover payroll, employee healthcare costs, rent, and utilities.</w:t>
      </w:r>
    </w:p>
    <w:p w:rsidR="006409D2" w:rsidRDefault="00B3214A" w:rsidP="00AD74DE">
      <w:pPr>
        <w:pStyle w:val="ListParagraph"/>
        <w:numPr>
          <w:ilvl w:val="0"/>
          <w:numId w:val="1"/>
        </w:numPr>
        <w:spacing w:line="480" w:lineRule="auto"/>
      </w:pPr>
      <w:r>
        <w:t>All the funds obtained meet all the requirements and are used for the right purpose.</w:t>
      </w:r>
    </w:p>
    <w:p w:rsidR="00B133FA" w:rsidRPr="006F558B" w:rsidRDefault="00B3214A" w:rsidP="00AD74DE">
      <w:pPr>
        <w:spacing w:line="480" w:lineRule="auto"/>
        <w:jc w:val="center"/>
        <w:rPr>
          <w:b/>
        </w:rPr>
      </w:pPr>
      <w:r w:rsidRPr="006F558B">
        <w:rPr>
          <w:b/>
        </w:rPr>
        <w:t>Issues</w:t>
      </w:r>
    </w:p>
    <w:p w:rsidR="00B133FA" w:rsidRDefault="00B3214A" w:rsidP="00AD74DE">
      <w:pPr>
        <w:spacing w:line="480" w:lineRule="auto"/>
      </w:pPr>
      <w:r>
        <w:t>Was the PPP loan taxable when it was received in the 2021 financial year?</w:t>
      </w:r>
    </w:p>
    <w:p w:rsidR="00B133FA" w:rsidRDefault="00B3214A" w:rsidP="00AD74DE">
      <w:pPr>
        <w:spacing w:line="480" w:lineRule="auto"/>
      </w:pPr>
      <w:r>
        <w:t>Can the expenses incurred be claimed in income tax deduction on the 2020 income tax</w:t>
      </w:r>
      <w:r w:rsidR="009E1BE3">
        <w:t xml:space="preserve"> return?</w:t>
      </w:r>
    </w:p>
    <w:p w:rsidR="004D3684" w:rsidRDefault="00B3214A" w:rsidP="00AD74DE">
      <w:pPr>
        <w:spacing w:line="480" w:lineRule="auto"/>
      </w:pPr>
      <w:r>
        <w:t xml:space="preserve">Can the forgiveness of the debt be regarded as cancellation of the debt-income if it is applied in 2021? Is the forgiveness taxable to the </w:t>
      </w:r>
      <w:r w:rsidR="00DB14BA">
        <w:t>corporation?</w:t>
      </w:r>
      <w:r>
        <w:t xml:space="preserve"> </w:t>
      </w:r>
    </w:p>
    <w:p w:rsidR="004D3684" w:rsidRPr="004D3684" w:rsidRDefault="004D3684" w:rsidP="00D97DA3">
      <w:pPr>
        <w:spacing w:line="480" w:lineRule="auto"/>
        <w:jc w:val="center"/>
        <w:rPr>
          <w:b/>
        </w:rPr>
      </w:pPr>
      <w:r w:rsidRPr="004D3684">
        <w:rPr>
          <w:b/>
        </w:rPr>
        <w:t>Conclusion</w:t>
      </w:r>
    </w:p>
    <w:p w:rsidR="004D3684" w:rsidRDefault="004D3684" w:rsidP="004D3684">
      <w:pPr>
        <w:spacing w:line="480" w:lineRule="auto"/>
      </w:pPr>
      <w:r w:rsidRPr="004D3684">
        <w:t xml:space="preserve">George’s corporation is entitled to PPP loan forgiveness and thus can apply for it in order to avoid being included as revenue. </w:t>
      </w:r>
    </w:p>
    <w:p w:rsidR="004D3684" w:rsidRDefault="004D3684" w:rsidP="004D3684">
      <w:pPr>
        <w:spacing w:line="480" w:lineRule="auto"/>
      </w:pPr>
      <w:r w:rsidRPr="004D3684">
        <w:t xml:space="preserve">The use of the loan was according to the intentions and within the time limits. Therefore, the corporation’s PPP loan meets all requirements for being allowed loan forgiveness that will allow the company to utilize its benefits.  </w:t>
      </w:r>
    </w:p>
    <w:p w:rsidR="004D3684" w:rsidRDefault="00C364D4" w:rsidP="00AD74DE">
      <w:pPr>
        <w:spacing w:line="480" w:lineRule="auto"/>
      </w:pPr>
      <w:r>
        <w:t xml:space="preserve">The government can include taxation on the PPP loan and there is need to </w:t>
      </w:r>
      <w:r w:rsidR="002D33C5">
        <w:rPr>
          <w:rStyle w:val="FootnoteReference"/>
        </w:rPr>
        <w:footnoteReference w:id="1"/>
      </w:r>
      <w:r>
        <w:t xml:space="preserve">declare it before the corporation is billed and tax the PPP loan as an income to the company. </w:t>
      </w:r>
    </w:p>
    <w:p w:rsidR="006F558B" w:rsidRDefault="00B3214A" w:rsidP="00AD74DE">
      <w:pPr>
        <w:spacing w:line="480" w:lineRule="auto"/>
        <w:jc w:val="center"/>
        <w:rPr>
          <w:b/>
        </w:rPr>
      </w:pPr>
      <w:r w:rsidRPr="006F558B">
        <w:rPr>
          <w:b/>
        </w:rPr>
        <w:t>Analysis</w:t>
      </w:r>
    </w:p>
    <w:p w:rsidR="00342E9D" w:rsidRPr="00920663" w:rsidRDefault="00B3214A" w:rsidP="00AD74DE">
      <w:pPr>
        <w:spacing w:line="480" w:lineRule="auto"/>
        <w:rPr>
          <w:i/>
        </w:rPr>
      </w:pPr>
      <w:r w:rsidRPr="00920663">
        <w:rPr>
          <w:i/>
        </w:rPr>
        <w:t>Was the PPP loan taxable when it was received in the 2021 financial year?</w:t>
      </w:r>
    </w:p>
    <w:p w:rsidR="00B52020" w:rsidRDefault="00B3214A" w:rsidP="00AD74DE">
      <w:pPr>
        <w:spacing w:line="480" w:lineRule="auto"/>
        <w:ind w:firstLine="720"/>
      </w:pPr>
      <w:r w:rsidRPr="00B52020">
        <w:t xml:space="preserve">Companies use loans to finance their budgets. </w:t>
      </w:r>
      <w:r>
        <w:t xml:space="preserve">Mostly they acquire Paycheck Protection Programs (PPP) to meet their deficits. Companies and corporation receiving their PPP after </w:t>
      </w:r>
      <w:r w:rsidR="005B4920">
        <w:t>March</w:t>
      </w:r>
      <w:r>
        <w:t xml:space="preserve"> 3</w:t>
      </w:r>
      <w:r w:rsidRPr="00B52020">
        <w:rPr>
          <w:vertAlign w:val="superscript"/>
        </w:rPr>
        <w:t>rd</w:t>
      </w:r>
      <w:r>
        <w:t xml:space="preserve">, 2021 use their 2020 gross income to apply for the loans. Since </w:t>
      </w:r>
      <w:r w:rsidR="005B4920">
        <w:t xml:space="preserve">the PPP loan is received in 2021, it is entitled to forgiveness and cancelation of debt income. Under the </w:t>
      </w:r>
      <w:r w:rsidR="005B4920" w:rsidRPr="005B4920">
        <w:t>IRC §</w:t>
      </w:r>
      <w:r w:rsidR="005B4920">
        <w:t xml:space="preserve">108, discharged from </w:t>
      </w:r>
      <w:r w:rsidR="00377DB1">
        <w:t>in</w:t>
      </w:r>
      <w:r w:rsidR="005B4920">
        <w:t>debt</w:t>
      </w:r>
      <w:r w:rsidR="00377DB1">
        <w:t>ed</w:t>
      </w:r>
      <w:r w:rsidR="005B4920">
        <w:t xml:space="preserve">ness are not classified as revenues to the company and thus are not included in the tax return. As such, George's corporation PPP loan is not taxable as required by the </w:t>
      </w:r>
      <w:r w:rsidR="005B4920" w:rsidRPr="005B4920">
        <w:t>IRC §</w:t>
      </w:r>
      <w:r w:rsidR="0007685F">
        <w:t>10</w:t>
      </w:r>
      <w:r w:rsidR="005B4920">
        <w:t xml:space="preserve">8. </w:t>
      </w:r>
      <w:r w:rsidR="00F25F95">
        <w:t>The loan can only be taxable if the forgiveness is denied upon examination of the use of the loan. George</w:t>
      </w:r>
      <w:r w:rsidR="00AD1925">
        <w:t>’s</w:t>
      </w:r>
      <w:r w:rsidR="00F25F95">
        <w:t xml:space="preserve"> </w:t>
      </w:r>
      <w:r w:rsidR="00AD1925">
        <w:t>Corporation</w:t>
      </w:r>
      <w:r w:rsidR="00F25F95">
        <w:t xml:space="preserve"> used </w:t>
      </w:r>
      <w:r w:rsidR="00AD1925">
        <w:t>the</w:t>
      </w:r>
      <w:r w:rsidR="00F25F95">
        <w:t xml:space="preserve"> loan to meet its payroll requirements, health care costs, pay for rent, and utilities which were the purpose for applying for the loan. As such, it is utilized within its purpose and the corporation is guaranteed forgiveness. As such, the loan will not be included in the revenues </w:t>
      </w:r>
      <w:r w:rsidR="00AD1925">
        <w:t xml:space="preserve">and thus exempted from taxation within the 2021 financial year. </w:t>
      </w:r>
    </w:p>
    <w:p w:rsidR="00415FF0" w:rsidRDefault="00B3214A" w:rsidP="00AD74DE">
      <w:pPr>
        <w:spacing w:line="480" w:lineRule="auto"/>
        <w:ind w:firstLine="720"/>
      </w:pPr>
      <w:r>
        <w:t xml:space="preserve">For PPP loan is received in 2021 and utilized within the stipulated time, that is, between 8-24 weeks to pay payrolls, the company is allowed to apply for debt forgiveness. The forgiveness can only be declared upon acquirement of the cancelation. Upon forgiveness, the company is supposed to report to the tax authority for it to be exempted from the year’s revenues. Since George's corporation, PPP is not declared in 2021, the loan is not part of the 2021 revenues until its forgiveness is declared. As such, the tax authorities cannot tax the PPP loan until the corporation declares the </w:t>
      </w:r>
      <w:r w:rsidR="00AE0AB8">
        <w:t xml:space="preserve">PPP loan forgiveness is denied. Since the company has received and utilized the money for the </w:t>
      </w:r>
      <w:r w:rsidR="009B2DAB">
        <w:t xml:space="preserve">right purpose and undeclared, its taxation can only be applied in the following financial year and not 2021. The company can continue utilizing the loan for the </w:t>
      </w:r>
      <w:r w:rsidR="00B85751">
        <w:t>intended</w:t>
      </w:r>
      <w:r w:rsidR="009B2DAB">
        <w:t xml:space="preserve"> purpose to reap maximum results from it. </w:t>
      </w:r>
    </w:p>
    <w:p w:rsidR="0083582E" w:rsidRPr="00920663" w:rsidRDefault="00B3214A" w:rsidP="00AD74DE">
      <w:pPr>
        <w:spacing w:line="480" w:lineRule="auto"/>
        <w:rPr>
          <w:i/>
        </w:rPr>
      </w:pPr>
      <w:r w:rsidRPr="00920663">
        <w:rPr>
          <w:i/>
        </w:rPr>
        <w:t>Can the expenses incurred be claimed in income tax deduction on the 2020 income tax return?</w:t>
      </w:r>
    </w:p>
    <w:p w:rsidR="00AF0BE8" w:rsidRPr="002467CE" w:rsidRDefault="00B3214A" w:rsidP="00AD74DE">
      <w:pPr>
        <w:spacing w:line="480" w:lineRule="auto"/>
        <w:ind w:firstLine="720"/>
      </w:pPr>
      <w:r>
        <w:t xml:space="preserve">Companies and corporations are entitled to a deduction on their taxable incomes that given them relief on their taxes. </w:t>
      </w:r>
      <w:r w:rsidR="008E345D" w:rsidRPr="008E345D">
        <w:t>IRC § 162</w:t>
      </w:r>
      <w:r w:rsidR="008E345D">
        <w:t xml:space="preserve"> allows ordinary and necessary business expenses to be subjected to deductions during a taxable year. Also, all those whose income is above the minimum threshold income are subjected to a tax deduction on the financial year. Businesses entitled to tax deduction include S corporations, partnerships, sole proprietorships, trusts, and estates. They are allowed to deduct 20% of their qualified incomes, 20% for investment on qualified real estate and trust, and dividends on public trade partnerships.</w:t>
      </w:r>
      <w:r w:rsidR="00224A89">
        <w:rPr>
          <w:rStyle w:val="FootnoteReference"/>
        </w:rPr>
        <w:footnoteReference w:id="2"/>
      </w:r>
      <w:r w:rsidR="008E345D">
        <w:t xml:space="preserve"> Any income earned by C corporations is not entitled to dedications</w:t>
      </w:r>
      <w:r>
        <w:t xml:space="preserve">. Also, any services provided by the corporation as an employee are not entitled to deductions. </w:t>
      </w:r>
      <w:r w:rsidR="008E345D">
        <w:t xml:space="preserve"> </w:t>
      </w:r>
      <w:r>
        <w:t xml:space="preserve">As such, the C </w:t>
      </w:r>
      <w:r w:rsidR="00D3432C">
        <w:t>Corporation</w:t>
      </w:r>
      <w:r>
        <w:t xml:space="preserve">'s incomes are not entitled to </w:t>
      </w:r>
      <w:r w:rsidR="00D3432C">
        <w:t xml:space="preserve">tax deductions. This means that the expenses are not entitled to deductions. </w:t>
      </w:r>
      <w:r w:rsidR="00981F30">
        <w:t xml:space="preserve">Also, </w:t>
      </w:r>
      <w:r w:rsidR="00981F30" w:rsidRPr="00981F30">
        <w:t>IRC §</w:t>
      </w:r>
      <w:r w:rsidR="00981F30">
        <w:t xml:space="preserve">265 does not deductions on expenses either individually or from a company. </w:t>
      </w:r>
    </w:p>
    <w:p w:rsidR="00FC59A4" w:rsidRPr="00253496" w:rsidRDefault="00B3214A" w:rsidP="00AD74DE">
      <w:pPr>
        <w:spacing w:line="480" w:lineRule="auto"/>
        <w:rPr>
          <w:i/>
        </w:rPr>
      </w:pPr>
      <w:r w:rsidRPr="00253496">
        <w:rPr>
          <w:i/>
        </w:rPr>
        <w:t xml:space="preserve">Can the forgiveness of the debt be regarded as cancellation of the debt-income if it is applied in 2021? Is the forgiveness taxable to the corporation? </w:t>
      </w:r>
    </w:p>
    <w:p w:rsidR="00E170EF" w:rsidRDefault="00B3214A" w:rsidP="00AD74DE">
      <w:pPr>
        <w:spacing w:line="480" w:lineRule="auto"/>
        <w:ind w:firstLine="720"/>
      </w:pPr>
      <w:r>
        <w:t>Companies apply for PPP loan forgiveness upon maturity of the time indicated. Once it is given, the debt is canceled and regarded as cancellation of debt income which is not taxable. As such once, the loan is forgiven; it becomes a cancellation of debt income. This is not taxable as it is no longer part of the revenues but meant to meet the expenses of the company.</w:t>
      </w:r>
    </w:p>
    <w:p w:rsidR="006F558B" w:rsidRPr="006F558B" w:rsidRDefault="006F558B">
      <w:pPr>
        <w:rPr>
          <w:b/>
        </w:rPr>
      </w:pPr>
    </w:p>
    <w:p w:rsidR="009E1BE3" w:rsidRDefault="009E1BE3"/>
    <w:p w:rsidR="00393F60" w:rsidRDefault="00393F60"/>
    <w:sectPr w:rsidR="00393F6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206" w:rsidRDefault="00747206">
      <w:pPr>
        <w:spacing w:after="0"/>
      </w:pPr>
      <w:r>
        <w:separator/>
      </w:r>
    </w:p>
  </w:endnote>
  <w:endnote w:type="continuationSeparator" w:id="0">
    <w:p w:rsidR="00747206" w:rsidRDefault="007472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206" w:rsidRDefault="00747206">
      <w:pPr>
        <w:spacing w:after="0"/>
      </w:pPr>
      <w:r>
        <w:separator/>
      </w:r>
    </w:p>
  </w:footnote>
  <w:footnote w:type="continuationSeparator" w:id="0">
    <w:p w:rsidR="00747206" w:rsidRDefault="00747206">
      <w:pPr>
        <w:spacing w:after="0"/>
      </w:pPr>
      <w:r>
        <w:continuationSeparator/>
      </w:r>
    </w:p>
  </w:footnote>
  <w:footnote w:id="1">
    <w:p w:rsidR="002D33C5" w:rsidRDefault="002D33C5">
      <w:pPr>
        <w:pStyle w:val="FootnoteText"/>
      </w:pPr>
      <w:r>
        <w:rPr>
          <w:rStyle w:val="FootnoteReference"/>
        </w:rPr>
        <w:footnoteRef/>
      </w:r>
      <w:r w:rsidR="0097390C">
        <w:t>Refer to</w:t>
      </w:r>
      <w:r>
        <w:t xml:space="preserve"> </w:t>
      </w:r>
      <w:r w:rsidRPr="002D33C5">
        <w:t>IRC §</w:t>
      </w:r>
      <w:r>
        <w:t>108</w:t>
      </w:r>
    </w:p>
    <w:p w:rsidR="002D33C5" w:rsidRDefault="002D33C5">
      <w:pPr>
        <w:pStyle w:val="FootnoteText"/>
      </w:pPr>
      <w:r w:rsidRPr="002D33C5">
        <w:t>Anders, S. B. (2016). Recommended Resources for Tax Practitioners. </w:t>
      </w:r>
      <w:r w:rsidRPr="002D33C5">
        <w:rPr>
          <w:i/>
          <w:iCs/>
        </w:rPr>
        <w:t>The CPA Journal</w:t>
      </w:r>
      <w:r w:rsidRPr="002D33C5">
        <w:t>, </w:t>
      </w:r>
      <w:r w:rsidRPr="002D33C5">
        <w:rPr>
          <w:i/>
          <w:iCs/>
        </w:rPr>
        <w:t>86</w:t>
      </w:r>
      <w:r w:rsidRPr="002D33C5">
        <w:t>(11), 72-73.</w:t>
      </w:r>
    </w:p>
    <w:p w:rsidR="00014F6E" w:rsidRDefault="00014F6E">
      <w:pPr>
        <w:pStyle w:val="FootnoteText"/>
      </w:pPr>
      <w:r w:rsidRPr="00014F6E">
        <w:t>IRC sections 23, 108, and 162 Whipple vs</w:t>
      </w:r>
      <w:bookmarkStart w:id="0" w:name="_GoBack"/>
      <w:bookmarkEnd w:id="0"/>
      <w:r w:rsidRPr="00014F6E">
        <w:t xml:space="preserve"> commissioner 1942 December 7, 1964 Locke Manufacturing vs. United States</w:t>
      </w:r>
    </w:p>
  </w:footnote>
  <w:footnote w:id="2">
    <w:p w:rsidR="00224A89" w:rsidRDefault="00224A89">
      <w:pPr>
        <w:pStyle w:val="FootnoteText"/>
      </w:pPr>
      <w:r>
        <w:rPr>
          <w:rStyle w:val="FootnoteReference"/>
        </w:rPr>
        <w:footnoteRef/>
      </w:r>
      <w:r>
        <w:t xml:space="preserve"> Refer to </w:t>
      </w:r>
      <w:r w:rsidRPr="00224A89">
        <w:t>IRC § 162</w:t>
      </w:r>
    </w:p>
    <w:p w:rsidR="00224A89" w:rsidRDefault="00224A89">
      <w:pPr>
        <w:pStyle w:val="FootnoteText"/>
      </w:pPr>
      <w:r>
        <w:t xml:space="preserve">     </w:t>
      </w:r>
      <w:r w:rsidRPr="00224A89">
        <w:t>IRC §265</w:t>
      </w:r>
    </w:p>
    <w:p w:rsidR="00224A89" w:rsidRDefault="00224A89">
      <w:pPr>
        <w:pStyle w:val="FootnoteText"/>
      </w:pPr>
      <w:r w:rsidRPr="00224A89">
        <w:t>Blasi, R. W., &amp; Judson, C. J. (1990). Ineffective and Inequitable: The Section 265 (a) Interest Disallowance. </w:t>
      </w:r>
      <w:r w:rsidRPr="00224A89">
        <w:rPr>
          <w:i/>
          <w:iCs/>
        </w:rPr>
        <w:t>Wake Forest L. Rev.</w:t>
      </w:r>
      <w:r w:rsidRPr="00224A89">
        <w:t>, </w:t>
      </w:r>
      <w:r w:rsidRPr="00224A89">
        <w:rPr>
          <w:i/>
          <w:iCs/>
        </w:rPr>
        <w:t>25</w:t>
      </w:r>
      <w:r w:rsidRPr="00224A89">
        <w:t>, 811.</w:t>
      </w:r>
    </w:p>
    <w:p w:rsidR="00014F6E" w:rsidRDefault="00014F6E">
      <w:pPr>
        <w:pStyle w:val="FootnoteText"/>
      </w:pPr>
      <w:r w:rsidRPr="00014F6E">
        <w:t>IRC sections 23, 108, and 162 Whipple vs commissioner 1942 December 7, 1964 Locke Manufacturing vs. United States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1835421"/>
      <w:docPartObj>
        <w:docPartGallery w:val="Page Numbers (Top of Page)"/>
        <w:docPartUnique/>
      </w:docPartObj>
    </w:sdtPr>
    <w:sdtEndPr>
      <w:rPr>
        <w:noProof/>
      </w:rPr>
    </w:sdtEndPr>
    <w:sdtContent>
      <w:p w:rsidR="00CC4DF1" w:rsidRDefault="00B3214A">
        <w:pPr>
          <w:pStyle w:val="Header"/>
          <w:jc w:val="right"/>
        </w:pPr>
        <w:r>
          <w:fldChar w:fldCharType="begin"/>
        </w:r>
        <w:r>
          <w:instrText xml:space="preserve"> PAGE   \* MERGEFORMAT </w:instrText>
        </w:r>
        <w:r>
          <w:fldChar w:fldCharType="separate"/>
        </w:r>
        <w:r w:rsidR="00747206">
          <w:rPr>
            <w:noProof/>
          </w:rPr>
          <w:t>1</w:t>
        </w:r>
        <w:r>
          <w:rPr>
            <w:noProof/>
          </w:rPr>
          <w:fldChar w:fldCharType="end"/>
        </w:r>
      </w:p>
    </w:sdtContent>
  </w:sdt>
  <w:p w:rsidR="00CC4DF1" w:rsidRDefault="00CC4D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FF625E"/>
    <w:multiLevelType w:val="hybridMultilevel"/>
    <w:tmpl w:val="F0A237D6"/>
    <w:lvl w:ilvl="0" w:tplc="2D58E798">
      <w:start w:val="1"/>
      <w:numFmt w:val="decimal"/>
      <w:lvlText w:val="%1."/>
      <w:lvlJc w:val="left"/>
      <w:pPr>
        <w:ind w:left="720" w:hanging="360"/>
      </w:pPr>
      <w:rPr>
        <w:rFonts w:hint="default"/>
      </w:rPr>
    </w:lvl>
    <w:lvl w:ilvl="1" w:tplc="64A6BD20" w:tentative="1">
      <w:start w:val="1"/>
      <w:numFmt w:val="lowerLetter"/>
      <w:lvlText w:val="%2."/>
      <w:lvlJc w:val="left"/>
      <w:pPr>
        <w:ind w:left="1440" w:hanging="360"/>
      </w:pPr>
    </w:lvl>
    <w:lvl w:ilvl="2" w:tplc="EED023D4" w:tentative="1">
      <w:start w:val="1"/>
      <w:numFmt w:val="lowerRoman"/>
      <w:lvlText w:val="%3."/>
      <w:lvlJc w:val="right"/>
      <w:pPr>
        <w:ind w:left="2160" w:hanging="180"/>
      </w:pPr>
    </w:lvl>
    <w:lvl w:ilvl="3" w:tplc="C366A290" w:tentative="1">
      <w:start w:val="1"/>
      <w:numFmt w:val="decimal"/>
      <w:lvlText w:val="%4."/>
      <w:lvlJc w:val="left"/>
      <w:pPr>
        <w:ind w:left="2880" w:hanging="360"/>
      </w:pPr>
    </w:lvl>
    <w:lvl w:ilvl="4" w:tplc="F08A7748" w:tentative="1">
      <w:start w:val="1"/>
      <w:numFmt w:val="lowerLetter"/>
      <w:lvlText w:val="%5."/>
      <w:lvlJc w:val="left"/>
      <w:pPr>
        <w:ind w:left="3600" w:hanging="360"/>
      </w:pPr>
    </w:lvl>
    <w:lvl w:ilvl="5" w:tplc="8AC2B9A6" w:tentative="1">
      <w:start w:val="1"/>
      <w:numFmt w:val="lowerRoman"/>
      <w:lvlText w:val="%6."/>
      <w:lvlJc w:val="right"/>
      <w:pPr>
        <w:ind w:left="4320" w:hanging="180"/>
      </w:pPr>
    </w:lvl>
    <w:lvl w:ilvl="6" w:tplc="C696F836" w:tentative="1">
      <w:start w:val="1"/>
      <w:numFmt w:val="decimal"/>
      <w:lvlText w:val="%7."/>
      <w:lvlJc w:val="left"/>
      <w:pPr>
        <w:ind w:left="5040" w:hanging="360"/>
      </w:pPr>
    </w:lvl>
    <w:lvl w:ilvl="7" w:tplc="B8784202" w:tentative="1">
      <w:start w:val="1"/>
      <w:numFmt w:val="lowerLetter"/>
      <w:lvlText w:val="%8."/>
      <w:lvlJc w:val="left"/>
      <w:pPr>
        <w:ind w:left="5760" w:hanging="360"/>
      </w:pPr>
    </w:lvl>
    <w:lvl w:ilvl="8" w:tplc="AB28A7BE"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F60"/>
    <w:rsid w:val="00014F6E"/>
    <w:rsid w:val="0007685F"/>
    <w:rsid w:val="00224A89"/>
    <w:rsid w:val="0022712E"/>
    <w:rsid w:val="002467CE"/>
    <w:rsid w:val="00253496"/>
    <w:rsid w:val="002D33C5"/>
    <w:rsid w:val="00331628"/>
    <w:rsid w:val="00342E9D"/>
    <w:rsid w:val="00377DB1"/>
    <w:rsid w:val="00393F60"/>
    <w:rsid w:val="00415FF0"/>
    <w:rsid w:val="0042167E"/>
    <w:rsid w:val="004D3684"/>
    <w:rsid w:val="00576AE2"/>
    <w:rsid w:val="005B4920"/>
    <w:rsid w:val="006409D2"/>
    <w:rsid w:val="006A1B3B"/>
    <w:rsid w:val="006F558B"/>
    <w:rsid w:val="007071BA"/>
    <w:rsid w:val="00727C99"/>
    <w:rsid w:val="00747206"/>
    <w:rsid w:val="00775954"/>
    <w:rsid w:val="007974E0"/>
    <w:rsid w:val="007B6E07"/>
    <w:rsid w:val="0083582E"/>
    <w:rsid w:val="008E345D"/>
    <w:rsid w:val="00920663"/>
    <w:rsid w:val="0097390C"/>
    <w:rsid w:val="00981F30"/>
    <w:rsid w:val="009B2DAB"/>
    <w:rsid w:val="009B56AD"/>
    <w:rsid w:val="009E1BE3"/>
    <w:rsid w:val="00A10835"/>
    <w:rsid w:val="00A854CB"/>
    <w:rsid w:val="00AD1925"/>
    <w:rsid w:val="00AD74DE"/>
    <w:rsid w:val="00AE0AB8"/>
    <w:rsid w:val="00AF0BE8"/>
    <w:rsid w:val="00B00806"/>
    <w:rsid w:val="00B133FA"/>
    <w:rsid w:val="00B3214A"/>
    <w:rsid w:val="00B52020"/>
    <w:rsid w:val="00B85751"/>
    <w:rsid w:val="00C364D4"/>
    <w:rsid w:val="00CC4DF1"/>
    <w:rsid w:val="00D3432C"/>
    <w:rsid w:val="00D579D3"/>
    <w:rsid w:val="00D95D3B"/>
    <w:rsid w:val="00D97DA3"/>
    <w:rsid w:val="00DB14BA"/>
    <w:rsid w:val="00DE2D3D"/>
    <w:rsid w:val="00DE48E1"/>
    <w:rsid w:val="00E170EF"/>
    <w:rsid w:val="00E75337"/>
    <w:rsid w:val="00F25F95"/>
    <w:rsid w:val="00FC5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67E"/>
    <w:pPr>
      <w:ind w:left="720"/>
      <w:contextualSpacing/>
    </w:pPr>
  </w:style>
  <w:style w:type="paragraph" w:styleId="Header">
    <w:name w:val="header"/>
    <w:basedOn w:val="Normal"/>
    <w:link w:val="HeaderChar"/>
    <w:uiPriority w:val="99"/>
    <w:unhideWhenUsed/>
    <w:rsid w:val="00CC4DF1"/>
    <w:pPr>
      <w:tabs>
        <w:tab w:val="center" w:pos="4680"/>
        <w:tab w:val="right" w:pos="9360"/>
      </w:tabs>
      <w:spacing w:after="0"/>
    </w:pPr>
  </w:style>
  <w:style w:type="character" w:customStyle="1" w:styleId="HeaderChar">
    <w:name w:val="Header Char"/>
    <w:basedOn w:val="DefaultParagraphFont"/>
    <w:link w:val="Header"/>
    <w:uiPriority w:val="99"/>
    <w:rsid w:val="00CC4DF1"/>
  </w:style>
  <w:style w:type="paragraph" w:styleId="Footer">
    <w:name w:val="footer"/>
    <w:basedOn w:val="Normal"/>
    <w:link w:val="FooterChar"/>
    <w:uiPriority w:val="99"/>
    <w:unhideWhenUsed/>
    <w:rsid w:val="00CC4DF1"/>
    <w:pPr>
      <w:tabs>
        <w:tab w:val="center" w:pos="4680"/>
        <w:tab w:val="right" w:pos="9360"/>
      </w:tabs>
      <w:spacing w:after="0"/>
    </w:pPr>
  </w:style>
  <w:style w:type="character" w:customStyle="1" w:styleId="FooterChar">
    <w:name w:val="Footer Char"/>
    <w:basedOn w:val="DefaultParagraphFont"/>
    <w:link w:val="Footer"/>
    <w:uiPriority w:val="99"/>
    <w:rsid w:val="00CC4DF1"/>
  </w:style>
  <w:style w:type="paragraph" w:styleId="FootnoteText">
    <w:name w:val="footnote text"/>
    <w:basedOn w:val="Normal"/>
    <w:link w:val="FootnoteTextChar"/>
    <w:uiPriority w:val="99"/>
    <w:semiHidden/>
    <w:unhideWhenUsed/>
    <w:rsid w:val="002D33C5"/>
    <w:pPr>
      <w:spacing w:after="0"/>
    </w:pPr>
    <w:rPr>
      <w:sz w:val="20"/>
      <w:szCs w:val="20"/>
    </w:rPr>
  </w:style>
  <w:style w:type="character" w:customStyle="1" w:styleId="FootnoteTextChar">
    <w:name w:val="Footnote Text Char"/>
    <w:basedOn w:val="DefaultParagraphFont"/>
    <w:link w:val="FootnoteText"/>
    <w:uiPriority w:val="99"/>
    <w:semiHidden/>
    <w:rsid w:val="002D33C5"/>
    <w:rPr>
      <w:sz w:val="20"/>
      <w:szCs w:val="20"/>
    </w:rPr>
  </w:style>
  <w:style w:type="character" w:styleId="FootnoteReference">
    <w:name w:val="footnote reference"/>
    <w:basedOn w:val="DefaultParagraphFont"/>
    <w:uiPriority w:val="99"/>
    <w:semiHidden/>
    <w:unhideWhenUsed/>
    <w:rsid w:val="002D33C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67E"/>
    <w:pPr>
      <w:ind w:left="720"/>
      <w:contextualSpacing/>
    </w:pPr>
  </w:style>
  <w:style w:type="paragraph" w:styleId="Header">
    <w:name w:val="header"/>
    <w:basedOn w:val="Normal"/>
    <w:link w:val="HeaderChar"/>
    <w:uiPriority w:val="99"/>
    <w:unhideWhenUsed/>
    <w:rsid w:val="00CC4DF1"/>
    <w:pPr>
      <w:tabs>
        <w:tab w:val="center" w:pos="4680"/>
        <w:tab w:val="right" w:pos="9360"/>
      </w:tabs>
      <w:spacing w:after="0"/>
    </w:pPr>
  </w:style>
  <w:style w:type="character" w:customStyle="1" w:styleId="HeaderChar">
    <w:name w:val="Header Char"/>
    <w:basedOn w:val="DefaultParagraphFont"/>
    <w:link w:val="Header"/>
    <w:uiPriority w:val="99"/>
    <w:rsid w:val="00CC4DF1"/>
  </w:style>
  <w:style w:type="paragraph" w:styleId="Footer">
    <w:name w:val="footer"/>
    <w:basedOn w:val="Normal"/>
    <w:link w:val="FooterChar"/>
    <w:uiPriority w:val="99"/>
    <w:unhideWhenUsed/>
    <w:rsid w:val="00CC4DF1"/>
    <w:pPr>
      <w:tabs>
        <w:tab w:val="center" w:pos="4680"/>
        <w:tab w:val="right" w:pos="9360"/>
      </w:tabs>
      <w:spacing w:after="0"/>
    </w:pPr>
  </w:style>
  <w:style w:type="character" w:customStyle="1" w:styleId="FooterChar">
    <w:name w:val="Footer Char"/>
    <w:basedOn w:val="DefaultParagraphFont"/>
    <w:link w:val="Footer"/>
    <w:uiPriority w:val="99"/>
    <w:rsid w:val="00CC4DF1"/>
  </w:style>
  <w:style w:type="paragraph" w:styleId="FootnoteText">
    <w:name w:val="footnote text"/>
    <w:basedOn w:val="Normal"/>
    <w:link w:val="FootnoteTextChar"/>
    <w:uiPriority w:val="99"/>
    <w:semiHidden/>
    <w:unhideWhenUsed/>
    <w:rsid w:val="002D33C5"/>
    <w:pPr>
      <w:spacing w:after="0"/>
    </w:pPr>
    <w:rPr>
      <w:sz w:val="20"/>
      <w:szCs w:val="20"/>
    </w:rPr>
  </w:style>
  <w:style w:type="character" w:customStyle="1" w:styleId="FootnoteTextChar">
    <w:name w:val="Footnote Text Char"/>
    <w:basedOn w:val="DefaultParagraphFont"/>
    <w:link w:val="FootnoteText"/>
    <w:uiPriority w:val="99"/>
    <w:semiHidden/>
    <w:rsid w:val="002D33C5"/>
    <w:rPr>
      <w:sz w:val="20"/>
      <w:szCs w:val="20"/>
    </w:rPr>
  </w:style>
  <w:style w:type="character" w:styleId="FootnoteReference">
    <w:name w:val="footnote reference"/>
    <w:basedOn w:val="DefaultParagraphFont"/>
    <w:uiPriority w:val="99"/>
    <w:semiHidden/>
    <w:unhideWhenUsed/>
    <w:rsid w:val="002D33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8235CD7C-5CCD-48E5-BBF0-141FCE3F4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2021-06-11T12:08:00Z</dcterms:created>
  <dcterms:modified xsi:type="dcterms:W3CDTF">2021-06-11T12:08:00Z</dcterms:modified>
</cp:coreProperties>
</file>